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8C53" w14:textId="77777777" w:rsidR="001F4FC5" w:rsidRDefault="001F4FC5" w:rsidP="0022114E">
      <w:pPr>
        <w:spacing w:after="120" w:line="240" w:lineRule="auto"/>
        <w:rPr>
          <w:b/>
          <w:bCs/>
        </w:rPr>
      </w:pPr>
      <w:r w:rsidRPr="001F4FC5">
        <w:rPr>
          <w:b/>
          <w:bCs/>
        </w:rPr>
        <w:t xml:space="preserve">Vol. 1 No. 1 (2026): </w:t>
      </w:r>
      <w:proofErr w:type="spellStart"/>
      <w:r w:rsidRPr="001F4FC5">
        <w:rPr>
          <w:b/>
          <w:bCs/>
        </w:rPr>
        <w:t>InnoVision</w:t>
      </w:r>
      <w:proofErr w:type="spellEnd"/>
      <w:r w:rsidRPr="001F4FC5">
        <w:rPr>
          <w:b/>
          <w:bCs/>
        </w:rPr>
        <w:t xml:space="preserve"> 2026 : The 2nd Global Conference on Business Transformation, Complexity, and Futures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6301"/>
      </w:tblGrid>
      <w:tr w:rsidR="001F4FC5" w14:paraId="7E061491" w14:textId="77777777" w:rsidTr="00E32F9C">
        <w:trPr>
          <w:trHeight w:val="1859"/>
        </w:trPr>
        <w:tc>
          <w:tcPr>
            <w:tcW w:w="2965" w:type="dxa"/>
          </w:tcPr>
          <w:p w14:paraId="42238C5A" w14:textId="39D01BD8" w:rsidR="001F4FC5" w:rsidRDefault="001F4FC5" w:rsidP="0022114E">
            <w:pPr>
              <w:spacing w:after="120"/>
              <w:rPr>
                <w:b/>
                <w:bCs/>
              </w:rPr>
            </w:pPr>
            <w:r w:rsidRPr="001F4FC5">
              <w:rPr>
                <w:noProof/>
              </w:rPr>
              <w:drawing>
                <wp:inline distT="0" distB="0" distL="0" distR="0" wp14:anchorId="7FC8F326" wp14:editId="45D8AD1E">
                  <wp:extent cx="922020" cy="1290689"/>
                  <wp:effectExtent l="0" t="0" r="0" b="5080"/>
                  <wp:docPr id="43767031" name="Picture 2" descr="     View Vol. 1 No. 1 (2026): InnoVision 2026 : The 2nd Global Conference on Business Transformation, Complexity, and Futures&#10;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View Vol. 1 No. 1 (2026): InnoVision 2026 : The 2nd Global Conference on Business Transformation, Complexity, and Futures&#10;    ">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1664" cy="1304189"/>
                          </a:xfrm>
                          <a:prstGeom prst="rect">
                            <a:avLst/>
                          </a:prstGeom>
                          <a:noFill/>
                          <a:ln>
                            <a:noFill/>
                          </a:ln>
                        </pic:spPr>
                      </pic:pic>
                    </a:graphicData>
                  </a:graphic>
                </wp:inline>
              </w:drawing>
            </w:r>
          </w:p>
        </w:tc>
        <w:tc>
          <w:tcPr>
            <w:tcW w:w="6431" w:type="dxa"/>
          </w:tcPr>
          <w:p w14:paraId="2C7F8CBA" w14:textId="77777777" w:rsidR="001F4FC5" w:rsidRPr="001F4FC5" w:rsidRDefault="001F4FC5" w:rsidP="0022114E">
            <w:pPr>
              <w:spacing w:after="120"/>
              <w:rPr>
                <w:sz w:val="22"/>
                <w:szCs w:val="22"/>
              </w:rPr>
            </w:pPr>
            <w:r w:rsidRPr="001F4FC5">
              <w:rPr>
                <w:sz w:val="22"/>
                <w:szCs w:val="22"/>
              </w:rPr>
              <w:t xml:space="preserve">Journal of Reproducible Research (JRR) dedicates an exclusive issue for </w:t>
            </w:r>
            <w:proofErr w:type="spellStart"/>
            <w:r w:rsidRPr="001F4FC5">
              <w:rPr>
                <w:sz w:val="22"/>
                <w:szCs w:val="22"/>
              </w:rPr>
              <w:t>InnoVision</w:t>
            </w:r>
            <w:proofErr w:type="spellEnd"/>
            <w:r w:rsidRPr="001F4FC5">
              <w:rPr>
                <w:sz w:val="22"/>
                <w:szCs w:val="22"/>
              </w:rPr>
              <w:t xml:space="preserve"> 2026: The 2nd Global Conference on Business Transformation, Complexity and Futures.</w:t>
            </w:r>
          </w:p>
          <w:p w14:paraId="68346E5F" w14:textId="77777777" w:rsidR="001F4FC5" w:rsidRDefault="001F4FC5" w:rsidP="0022114E">
            <w:pPr>
              <w:spacing w:after="120"/>
              <w:rPr>
                <w:sz w:val="22"/>
                <w:szCs w:val="22"/>
              </w:rPr>
            </w:pPr>
          </w:p>
          <w:p w14:paraId="68CC3B26" w14:textId="41744ED3" w:rsidR="00DC425E" w:rsidRPr="00E32F9C" w:rsidRDefault="00DC425E" w:rsidP="0022114E">
            <w:pPr>
              <w:spacing w:after="120"/>
              <w:rPr>
                <w:sz w:val="22"/>
                <w:szCs w:val="22"/>
              </w:rPr>
            </w:pPr>
            <w:hyperlink r:id="rId9" w:history="1">
              <w:r w:rsidRPr="00587EE4">
                <w:rPr>
                  <w:rStyle w:val="Hyperlink"/>
                  <w:sz w:val="22"/>
                  <w:szCs w:val="22"/>
                </w:rPr>
                <w:t>https://journalrrsite.com/index.php/Myjrr/issue/view/10</w:t>
              </w:r>
            </w:hyperlink>
            <w:r>
              <w:rPr>
                <w:sz w:val="22"/>
                <w:szCs w:val="22"/>
              </w:rPr>
              <w:t xml:space="preserve"> </w:t>
            </w:r>
          </w:p>
        </w:tc>
      </w:tr>
    </w:tbl>
    <w:p w14:paraId="14B085A8" w14:textId="77777777" w:rsidR="001F4FC5" w:rsidRDefault="001F4FC5" w:rsidP="0022114E">
      <w:pPr>
        <w:spacing w:after="120" w:line="240" w:lineRule="auto"/>
        <w:rPr>
          <w:b/>
          <w:bCs/>
        </w:rPr>
      </w:pPr>
    </w:p>
    <w:p w14:paraId="3927CEFC" w14:textId="0111E234" w:rsidR="0022114E" w:rsidRPr="0022114E" w:rsidRDefault="0022114E" w:rsidP="0022114E">
      <w:pPr>
        <w:spacing w:after="120" w:line="240" w:lineRule="auto"/>
        <w:rPr>
          <w:b/>
          <w:bCs/>
        </w:rPr>
      </w:pPr>
      <w:r w:rsidRPr="0022114E">
        <w:rPr>
          <w:b/>
          <w:bCs/>
        </w:rPr>
        <w:t>SPECIAL ISSUE: BUSINESS TRANSFORMATION, COMPLEXITY, AND FUTURES</w:t>
      </w:r>
    </w:p>
    <w:p w14:paraId="39298A83" w14:textId="77777777" w:rsidR="0022114E" w:rsidRDefault="0022114E" w:rsidP="0022114E">
      <w:pPr>
        <w:spacing w:after="120" w:line="240" w:lineRule="auto"/>
        <w:rPr>
          <w:b/>
          <w:bCs/>
          <w:sz w:val="20"/>
          <w:szCs w:val="20"/>
        </w:rPr>
      </w:pPr>
    </w:p>
    <w:p w14:paraId="17097BA2" w14:textId="41790033" w:rsidR="0022114E" w:rsidRDefault="0022114E" w:rsidP="0022114E">
      <w:pPr>
        <w:spacing w:after="120" w:line="240" w:lineRule="auto"/>
        <w:rPr>
          <w:b/>
          <w:bCs/>
          <w:sz w:val="20"/>
          <w:szCs w:val="20"/>
        </w:rPr>
      </w:pPr>
      <w:r>
        <w:rPr>
          <w:b/>
          <w:bCs/>
          <w:sz w:val="20"/>
          <w:szCs w:val="20"/>
        </w:rPr>
        <w:t>Guest Editors:</w:t>
      </w:r>
    </w:p>
    <w:p w14:paraId="61D8C2A7" w14:textId="44D78C73" w:rsidR="0022114E" w:rsidRPr="0022114E" w:rsidRDefault="002064C0" w:rsidP="0022114E">
      <w:pPr>
        <w:spacing w:after="0" w:line="240" w:lineRule="auto"/>
        <w:rPr>
          <w:sz w:val="20"/>
          <w:szCs w:val="20"/>
        </w:rPr>
      </w:pPr>
      <w:r w:rsidRPr="002064C0">
        <w:rPr>
          <w:sz w:val="20"/>
          <w:szCs w:val="20"/>
        </w:rPr>
        <w:t>Dr. M.F. Haraké (GBSB Global Business School, Spain/ Malta &amp; Université de Poitiers, France)</w:t>
      </w:r>
    </w:p>
    <w:p w14:paraId="53B06179" w14:textId="77777777" w:rsidR="0022114E" w:rsidRPr="0022114E" w:rsidRDefault="0022114E" w:rsidP="0022114E">
      <w:pPr>
        <w:spacing w:after="0" w:line="240" w:lineRule="auto"/>
        <w:rPr>
          <w:sz w:val="20"/>
          <w:szCs w:val="20"/>
        </w:rPr>
      </w:pPr>
      <w:r w:rsidRPr="0022114E">
        <w:rPr>
          <w:sz w:val="20"/>
          <w:szCs w:val="20"/>
        </w:rPr>
        <w:t>Dr. Sudhanshu Bhatt (Sanjivani University, India)</w:t>
      </w:r>
    </w:p>
    <w:p w14:paraId="309852DF" w14:textId="77777777" w:rsidR="0022114E" w:rsidRPr="0022114E" w:rsidRDefault="0022114E" w:rsidP="0022114E">
      <w:pPr>
        <w:spacing w:after="0" w:line="240" w:lineRule="auto"/>
        <w:rPr>
          <w:sz w:val="20"/>
          <w:szCs w:val="20"/>
        </w:rPr>
      </w:pPr>
      <w:r w:rsidRPr="0022114E">
        <w:rPr>
          <w:sz w:val="20"/>
          <w:szCs w:val="20"/>
        </w:rPr>
        <w:t>Dr. George Kassar (Ascencia Business School, France)</w:t>
      </w:r>
    </w:p>
    <w:p w14:paraId="5EB00EC6" w14:textId="77777777" w:rsidR="0022114E" w:rsidRPr="0022114E" w:rsidRDefault="0022114E" w:rsidP="0022114E">
      <w:pPr>
        <w:spacing w:after="0" w:line="240" w:lineRule="auto"/>
        <w:rPr>
          <w:sz w:val="20"/>
          <w:szCs w:val="20"/>
        </w:rPr>
      </w:pPr>
      <w:r w:rsidRPr="0022114E">
        <w:rPr>
          <w:sz w:val="20"/>
          <w:szCs w:val="20"/>
        </w:rPr>
        <w:t>Dr. Valliappan Raju (</w:t>
      </w:r>
      <w:proofErr w:type="spellStart"/>
      <w:r w:rsidRPr="0022114E">
        <w:rPr>
          <w:sz w:val="20"/>
          <w:szCs w:val="20"/>
        </w:rPr>
        <w:t>Gisma</w:t>
      </w:r>
      <w:proofErr w:type="spellEnd"/>
      <w:r w:rsidRPr="0022114E">
        <w:rPr>
          <w:sz w:val="20"/>
          <w:szCs w:val="20"/>
        </w:rPr>
        <w:t xml:space="preserve"> University for Applied Sciences, Germany)</w:t>
      </w:r>
    </w:p>
    <w:p w14:paraId="6DAB14AE" w14:textId="77777777" w:rsidR="0022114E" w:rsidRDefault="0022114E" w:rsidP="0022114E">
      <w:pPr>
        <w:spacing w:after="120" w:line="240" w:lineRule="auto"/>
        <w:rPr>
          <w:b/>
          <w:bCs/>
          <w:sz w:val="20"/>
          <w:szCs w:val="20"/>
        </w:rPr>
      </w:pPr>
    </w:p>
    <w:p w14:paraId="74D6FEAC" w14:textId="6A12C8B7" w:rsidR="00DE7E8B" w:rsidRPr="00DE7E8B" w:rsidRDefault="00DE7E8B" w:rsidP="0022114E">
      <w:pPr>
        <w:spacing w:after="120" w:line="240" w:lineRule="auto"/>
        <w:rPr>
          <w:i/>
          <w:iCs/>
          <w:sz w:val="20"/>
          <w:szCs w:val="20"/>
          <w:u w:val="single"/>
        </w:rPr>
      </w:pPr>
      <w:r w:rsidRPr="00DE7E8B">
        <w:rPr>
          <w:b/>
          <w:bCs/>
          <w:sz w:val="20"/>
          <w:szCs w:val="20"/>
        </w:rPr>
        <w:t>Call for Papers - Journal of Reproducible Research (JRR)</w:t>
      </w:r>
      <w:r w:rsidRPr="00DE7E8B">
        <w:rPr>
          <w:b/>
          <w:bCs/>
          <w:sz w:val="20"/>
          <w:szCs w:val="20"/>
        </w:rPr>
        <w:br/>
      </w:r>
      <w:r w:rsidRPr="00DE7E8B">
        <w:rPr>
          <w:i/>
          <w:iCs/>
          <w:sz w:val="20"/>
          <w:szCs w:val="20"/>
          <w:u w:val="single"/>
        </w:rPr>
        <w:t>Background &amp; Scientific Positioning</w:t>
      </w:r>
    </w:p>
    <w:p w14:paraId="5CC2C06E" w14:textId="04E01A70" w:rsidR="00DE7E8B" w:rsidRPr="00DE7E8B" w:rsidRDefault="00DE7E8B" w:rsidP="0022114E">
      <w:pPr>
        <w:spacing w:after="120" w:line="240" w:lineRule="auto"/>
        <w:jc w:val="both"/>
        <w:rPr>
          <w:sz w:val="20"/>
          <w:szCs w:val="20"/>
        </w:rPr>
      </w:pPr>
      <w:r w:rsidRPr="00DE7E8B">
        <w:rPr>
          <w:sz w:val="20"/>
          <w:szCs w:val="20"/>
        </w:rPr>
        <w:t>Contemporary business environments are increasingly characterized by volatility, uncertainty, and systemic complexity. Technological disruption, geopolitical instability, climate risks, and social transformation continue to challenge traditional management and economic models, particularly those grounded in linear and equilibrium-based assumptions.</w:t>
      </w:r>
    </w:p>
    <w:p w14:paraId="365D2071" w14:textId="77777777" w:rsidR="00DE7E8B" w:rsidRPr="00DE7E8B" w:rsidRDefault="00DE7E8B" w:rsidP="0022114E">
      <w:pPr>
        <w:spacing w:after="120" w:line="240" w:lineRule="auto"/>
        <w:jc w:val="both"/>
        <w:rPr>
          <w:sz w:val="20"/>
          <w:szCs w:val="20"/>
        </w:rPr>
      </w:pPr>
      <w:r w:rsidRPr="00DE7E8B">
        <w:rPr>
          <w:sz w:val="20"/>
          <w:szCs w:val="20"/>
        </w:rPr>
        <w:t>In response, a growing body of research conceptualizes organizations as complex adaptive systems embedded in dynamic and interdependent environments (Anderson, 1999; Holland, 2006; McKinley &amp; Scherer, 2022). This perspective emphasizes non-linearity, emergence, and feedback effects, highlighting the limits of conventional planning approaches in the face of systemic risk (Bennett &amp; Lemoine, 2020).</w:t>
      </w:r>
    </w:p>
    <w:p w14:paraId="2DB258C8" w14:textId="77777777" w:rsidR="00DE7E8B" w:rsidRPr="00DE7E8B" w:rsidRDefault="00DE7E8B" w:rsidP="0022114E">
      <w:pPr>
        <w:spacing w:after="120" w:line="240" w:lineRule="auto"/>
        <w:jc w:val="both"/>
        <w:rPr>
          <w:sz w:val="20"/>
          <w:szCs w:val="20"/>
        </w:rPr>
      </w:pPr>
      <w:r w:rsidRPr="00DE7E8B">
        <w:rPr>
          <w:sz w:val="20"/>
          <w:szCs w:val="20"/>
        </w:rPr>
        <w:t>Strategic foresight and futures literacy have consequently emerged as key organizational capabilities, enabling anticipation, adaptability, and long-term value creation under uncertainty (Godet, 2000; Rohrbeck &amp; Kum, 2018). At the same time, leadership and governance are increasingly understood as relational and sensemaking processes shaped by ethical considerations, institutional pressures, and stakeholder complexity (Weick, 1995; Maak &amp; Pless, 2006; Hoffmann &amp; Waddock, 2022).</w:t>
      </w:r>
    </w:p>
    <w:p w14:paraId="2E04C04E" w14:textId="77777777" w:rsidR="00DE7E8B" w:rsidRPr="00DE7E8B" w:rsidRDefault="00DE7E8B" w:rsidP="0022114E">
      <w:pPr>
        <w:spacing w:after="120" w:line="240" w:lineRule="auto"/>
        <w:jc w:val="both"/>
        <w:rPr>
          <w:sz w:val="20"/>
          <w:szCs w:val="20"/>
        </w:rPr>
      </w:pPr>
      <w:r w:rsidRPr="00DE7E8B">
        <w:rPr>
          <w:sz w:val="20"/>
          <w:szCs w:val="20"/>
        </w:rPr>
        <w:t xml:space="preserve">Digital transformation further reinforces these dynamics. While technologies such as AI and platform-based models create new opportunities, they also introduce risks related to opacity, control, and ethics. Recent research emphasizes the importance of aligning technological innovation with organizational capabilities and socio-technical systems (Brynjolfsson &amp; McAfee, 2014; Hanelt et al., 2021; </w:t>
      </w:r>
      <w:proofErr w:type="spellStart"/>
      <w:r w:rsidRPr="00DE7E8B">
        <w:rPr>
          <w:sz w:val="20"/>
          <w:szCs w:val="20"/>
        </w:rPr>
        <w:t>Stigliani</w:t>
      </w:r>
      <w:proofErr w:type="spellEnd"/>
      <w:r w:rsidRPr="00DE7E8B">
        <w:rPr>
          <w:sz w:val="20"/>
          <w:szCs w:val="20"/>
        </w:rPr>
        <w:t xml:space="preserve"> &amp; </w:t>
      </w:r>
      <w:proofErr w:type="spellStart"/>
      <w:r w:rsidRPr="00DE7E8B">
        <w:rPr>
          <w:sz w:val="20"/>
          <w:szCs w:val="20"/>
        </w:rPr>
        <w:t>Ravasi</w:t>
      </w:r>
      <w:proofErr w:type="spellEnd"/>
      <w:r w:rsidRPr="00DE7E8B">
        <w:rPr>
          <w:sz w:val="20"/>
          <w:szCs w:val="20"/>
        </w:rPr>
        <w:t>, 2021).</w:t>
      </w:r>
    </w:p>
    <w:p w14:paraId="07524D67" w14:textId="77777777" w:rsidR="00DE7E8B" w:rsidRPr="00DE7E8B" w:rsidRDefault="00DE7E8B" w:rsidP="0022114E">
      <w:pPr>
        <w:spacing w:after="120" w:line="240" w:lineRule="auto"/>
        <w:jc w:val="both"/>
        <w:rPr>
          <w:sz w:val="20"/>
          <w:szCs w:val="20"/>
        </w:rPr>
      </w:pPr>
      <w:r w:rsidRPr="00DE7E8B">
        <w:rPr>
          <w:sz w:val="20"/>
          <w:szCs w:val="20"/>
        </w:rPr>
        <w:t>Sustainability and ESG considerations position firms within broader societal systems, framing long-term value creation as a systemic and strategic challenge (Freeman et al., 2010; Bansal et al., 2021; George et al., 2021). Entrepreneurship research complements this view by examining how organizations respond to adversity and complexity, including the distinctive role of family enterprises and transgenerational dynamics (Gómez-Mejía et al., 2007; Shepherd &amp; Williams, 2020).</w:t>
      </w:r>
    </w:p>
    <w:p w14:paraId="69CEEB46" w14:textId="77777777" w:rsidR="00791E08" w:rsidRDefault="0022114E" w:rsidP="0022114E">
      <w:pPr>
        <w:spacing w:after="120" w:line="240" w:lineRule="auto"/>
        <w:jc w:val="both"/>
        <w:rPr>
          <w:sz w:val="20"/>
          <w:szCs w:val="20"/>
        </w:rPr>
      </w:pPr>
      <w:r>
        <w:rPr>
          <w:sz w:val="20"/>
          <w:szCs w:val="20"/>
        </w:rPr>
        <w:t>Further</w:t>
      </w:r>
      <w:r w:rsidR="00DE7E8B" w:rsidRPr="00DE7E8B">
        <w:rPr>
          <w:sz w:val="20"/>
          <w:szCs w:val="20"/>
        </w:rPr>
        <w:t>, global business is increasingly shaped by geopolitical tensions and fragmented value chains, calling for integrative approaches that connect strategy, institutions, and societal transformation (Danneels &amp; Vestal, 2020).</w:t>
      </w:r>
      <w:r>
        <w:rPr>
          <w:sz w:val="20"/>
          <w:szCs w:val="20"/>
        </w:rPr>
        <w:t xml:space="preserve"> </w:t>
      </w:r>
    </w:p>
    <w:p w14:paraId="7B700C75" w14:textId="2B51524C" w:rsidR="00DE7E8B" w:rsidRPr="00DE7E8B" w:rsidRDefault="0022114E" w:rsidP="0022114E">
      <w:pPr>
        <w:spacing w:after="120" w:line="240" w:lineRule="auto"/>
        <w:jc w:val="both"/>
        <w:rPr>
          <w:sz w:val="20"/>
          <w:szCs w:val="20"/>
        </w:rPr>
      </w:pPr>
      <w:r>
        <w:rPr>
          <w:sz w:val="20"/>
          <w:szCs w:val="20"/>
        </w:rPr>
        <w:t xml:space="preserve">It is within </w:t>
      </w:r>
      <w:r w:rsidR="00791E08">
        <w:rPr>
          <w:sz w:val="20"/>
          <w:szCs w:val="20"/>
        </w:rPr>
        <w:t>those perspectives of b</w:t>
      </w:r>
      <w:r w:rsidR="00791E08" w:rsidRPr="00791E08">
        <w:rPr>
          <w:sz w:val="20"/>
          <w:szCs w:val="20"/>
        </w:rPr>
        <w:t xml:space="preserve">usiness </w:t>
      </w:r>
      <w:r w:rsidR="00791E08">
        <w:rPr>
          <w:sz w:val="20"/>
          <w:szCs w:val="20"/>
        </w:rPr>
        <w:t>t</w:t>
      </w:r>
      <w:r w:rsidR="00791E08" w:rsidRPr="00791E08">
        <w:rPr>
          <w:sz w:val="20"/>
          <w:szCs w:val="20"/>
        </w:rPr>
        <w:t xml:space="preserve">ransformation, </w:t>
      </w:r>
      <w:r w:rsidR="00791E08">
        <w:rPr>
          <w:sz w:val="20"/>
          <w:szCs w:val="20"/>
        </w:rPr>
        <w:t>c</w:t>
      </w:r>
      <w:r w:rsidR="00791E08" w:rsidRPr="00791E08">
        <w:rPr>
          <w:sz w:val="20"/>
          <w:szCs w:val="20"/>
        </w:rPr>
        <w:t xml:space="preserve">omplexity and </w:t>
      </w:r>
      <w:r w:rsidR="00791E08">
        <w:rPr>
          <w:sz w:val="20"/>
          <w:szCs w:val="20"/>
        </w:rPr>
        <w:t>f</w:t>
      </w:r>
      <w:r w:rsidR="00791E08" w:rsidRPr="00791E08">
        <w:rPr>
          <w:sz w:val="20"/>
          <w:szCs w:val="20"/>
        </w:rPr>
        <w:t>utures</w:t>
      </w:r>
      <w:r w:rsidR="00791E08">
        <w:rPr>
          <w:sz w:val="20"/>
          <w:szCs w:val="20"/>
        </w:rPr>
        <w:t xml:space="preserve"> </w:t>
      </w:r>
      <w:r>
        <w:rPr>
          <w:sz w:val="20"/>
          <w:szCs w:val="20"/>
        </w:rPr>
        <w:t xml:space="preserve">that this special issue of the </w:t>
      </w:r>
      <w:r w:rsidRPr="0022114E">
        <w:rPr>
          <w:sz w:val="20"/>
          <w:szCs w:val="20"/>
        </w:rPr>
        <w:t>Journal of Reproducible Research (JRR)</w:t>
      </w:r>
      <w:r>
        <w:rPr>
          <w:sz w:val="20"/>
          <w:szCs w:val="20"/>
        </w:rPr>
        <w:t xml:space="preserve"> is positioned</w:t>
      </w:r>
      <w:r w:rsidR="00791E08">
        <w:rPr>
          <w:sz w:val="20"/>
          <w:szCs w:val="20"/>
        </w:rPr>
        <w:t>.</w:t>
      </w:r>
    </w:p>
    <w:p w14:paraId="11A44F33" w14:textId="4CF0C522" w:rsidR="00DE7E8B" w:rsidRPr="00DE7E8B" w:rsidRDefault="00DE7E8B" w:rsidP="0022114E">
      <w:pPr>
        <w:spacing w:after="120" w:line="240" w:lineRule="auto"/>
        <w:jc w:val="both"/>
        <w:rPr>
          <w:i/>
          <w:iCs/>
          <w:sz w:val="20"/>
          <w:szCs w:val="20"/>
          <w:u w:val="single"/>
        </w:rPr>
      </w:pPr>
      <w:r w:rsidRPr="00DE7E8B">
        <w:rPr>
          <w:i/>
          <w:iCs/>
          <w:sz w:val="20"/>
          <w:szCs w:val="20"/>
          <w:u w:val="single"/>
        </w:rPr>
        <w:lastRenderedPageBreak/>
        <w:t>Suggested Topics and Tracks</w:t>
      </w:r>
    </w:p>
    <w:p w14:paraId="677F254D" w14:textId="1EA4936F" w:rsidR="00DE7E8B" w:rsidRPr="00E32F9C" w:rsidRDefault="00DE7E8B" w:rsidP="0022114E">
      <w:pPr>
        <w:spacing w:after="120" w:line="240" w:lineRule="auto"/>
        <w:jc w:val="both"/>
        <w:rPr>
          <w:sz w:val="20"/>
          <w:szCs w:val="20"/>
        </w:rPr>
      </w:pPr>
      <w:r w:rsidRPr="00E32F9C">
        <w:rPr>
          <w:sz w:val="20"/>
          <w:szCs w:val="20"/>
        </w:rPr>
        <w:t>Submissions for this Special Issue may address, but are not limited to, the following themes:</w:t>
      </w:r>
    </w:p>
    <w:p w14:paraId="13C6E9A5" w14:textId="6EA4BC36" w:rsidR="00DE7E8B" w:rsidRPr="00E32F9C" w:rsidRDefault="00DE7E8B" w:rsidP="0022114E">
      <w:pPr>
        <w:pStyle w:val="ListParagraph"/>
        <w:numPr>
          <w:ilvl w:val="0"/>
          <w:numId w:val="2"/>
        </w:numPr>
        <w:spacing w:after="120" w:line="240" w:lineRule="auto"/>
        <w:contextualSpacing w:val="0"/>
        <w:jc w:val="both"/>
        <w:rPr>
          <w:sz w:val="20"/>
          <w:szCs w:val="20"/>
        </w:rPr>
      </w:pPr>
      <w:r w:rsidRPr="00E32F9C">
        <w:rPr>
          <w:sz w:val="20"/>
          <w:szCs w:val="20"/>
        </w:rPr>
        <w:t xml:space="preserve">Complexity, Risk, and Strategic </w:t>
      </w:r>
      <w:r w:rsidR="00E32F9C" w:rsidRPr="00E32F9C">
        <w:rPr>
          <w:sz w:val="20"/>
          <w:szCs w:val="20"/>
        </w:rPr>
        <w:t>Foresight:</w:t>
      </w:r>
      <w:r w:rsidRPr="00E32F9C">
        <w:rPr>
          <w:sz w:val="20"/>
          <w:szCs w:val="20"/>
        </w:rPr>
        <w:t xml:space="preserve"> Focus on organizations as complex systems and the role of foresight and risk management in navigating uncertainty (Anderson, 1999; Rohrbeck &amp; Kum, 2018).</w:t>
      </w:r>
    </w:p>
    <w:p w14:paraId="50FE1D48" w14:textId="6A0BFBED" w:rsidR="00DE7E8B" w:rsidRPr="00E32F9C" w:rsidRDefault="00DE7E8B" w:rsidP="0022114E">
      <w:pPr>
        <w:pStyle w:val="ListParagraph"/>
        <w:numPr>
          <w:ilvl w:val="0"/>
          <w:numId w:val="2"/>
        </w:numPr>
        <w:spacing w:after="120" w:line="240" w:lineRule="auto"/>
        <w:contextualSpacing w:val="0"/>
        <w:jc w:val="both"/>
        <w:rPr>
          <w:sz w:val="20"/>
          <w:szCs w:val="20"/>
        </w:rPr>
      </w:pPr>
      <w:r w:rsidRPr="00E32F9C">
        <w:rPr>
          <w:sz w:val="20"/>
          <w:szCs w:val="20"/>
        </w:rPr>
        <w:t xml:space="preserve">Leadership, Governance, and Organizational </w:t>
      </w:r>
      <w:r w:rsidR="00E32F9C" w:rsidRPr="00E32F9C">
        <w:rPr>
          <w:sz w:val="20"/>
          <w:szCs w:val="20"/>
        </w:rPr>
        <w:t>Transformation:</w:t>
      </w:r>
      <w:r w:rsidRPr="00E32F9C">
        <w:rPr>
          <w:sz w:val="20"/>
          <w:szCs w:val="20"/>
        </w:rPr>
        <w:t xml:space="preserve"> Examine leadership and governance as relational processes addressing ethics, legitimacy, and institutional complexity (Weick, 1995; Hoffmann &amp; Waddock, 2022).</w:t>
      </w:r>
    </w:p>
    <w:p w14:paraId="3FB631CB" w14:textId="5CD1F3C2" w:rsidR="00DE7E8B" w:rsidRPr="00E32F9C" w:rsidRDefault="00DE7E8B" w:rsidP="0022114E">
      <w:pPr>
        <w:pStyle w:val="ListParagraph"/>
        <w:numPr>
          <w:ilvl w:val="0"/>
          <w:numId w:val="2"/>
        </w:numPr>
        <w:spacing w:after="120" w:line="240" w:lineRule="auto"/>
        <w:contextualSpacing w:val="0"/>
        <w:jc w:val="both"/>
        <w:rPr>
          <w:sz w:val="20"/>
          <w:szCs w:val="20"/>
        </w:rPr>
      </w:pPr>
      <w:r w:rsidRPr="00E32F9C">
        <w:rPr>
          <w:sz w:val="20"/>
          <w:szCs w:val="20"/>
        </w:rPr>
        <w:t>Innovation, Entrepreneurship, and Digital Transformation: Explore socio-technical innovation, digital transformation, and entrepreneurial responses to dynamic environments (Hanelt et al., 2021; Shepherd &amp; Williams, 2020).</w:t>
      </w:r>
    </w:p>
    <w:p w14:paraId="4BA0FC08" w14:textId="1B2849A4" w:rsidR="00DE7E8B" w:rsidRPr="00E32F9C" w:rsidRDefault="00DE7E8B" w:rsidP="0022114E">
      <w:pPr>
        <w:pStyle w:val="ListParagraph"/>
        <w:numPr>
          <w:ilvl w:val="0"/>
          <w:numId w:val="2"/>
        </w:numPr>
        <w:spacing w:after="120" w:line="240" w:lineRule="auto"/>
        <w:contextualSpacing w:val="0"/>
        <w:jc w:val="both"/>
        <w:rPr>
          <w:sz w:val="20"/>
          <w:szCs w:val="20"/>
        </w:rPr>
      </w:pPr>
      <w:r w:rsidRPr="00E32F9C">
        <w:rPr>
          <w:sz w:val="20"/>
          <w:szCs w:val="20"/>
        </w:rPr>
        <w:t>Sustainability, Geopolitics, and Global Value Creation: Analyze ESG integration, geopolitical risk, and sustainable value creation in global contexts (Freeman et al., 2010; Danneels &amp; Vestal, 2020).</w:t>
      </w:r>
    </w:p>
    <w:p w14:paraId="79F19D17" w14:textId="225BA6B0" w:rsidR="00DE7E8B" w:rsidRPr="00E32F9C" w:rsidRDefault="00DE7E8B" w:rsidP="0022114E">
      <w:pPr>
        <w:pStyle w:val="ListParagraph"/>
        <w:numPr>
          <w:ilvl w:val="0"/>
          <w:numId w:val="2"/>
        </w:numPr>
        <w:spacing w:after="120" w:line="240" w:lineRule="auto"/>
        <w:contextualSpacing w:val="0"/>
        <w:jc w:val="both"/>
        <w:rPr>
          <w:sz w:val="20"/>
          <w:szCs w:val="20"/>
        </w:rPr>
      </w:pPr>
      <w:r w:rsidRPr="00E32F9C">
        <w:rPr>
          <w:sz w:val="20"/>
          <w:szCs w:val="20"/>
        </w:rPr>
        <w:t>Accounting, Finance, and Economics: Investigate financial and economic systems supporting resilience and long-term performance (Bansal et al., 2021).</w:t>
      </w:r>
    </w:p>
    <w:p w14:paraId="4524618F" w14:textId="5F62D58E" w:rsidR="00DE7E8B" w:rsidRPr="00E32F9C" w:rsidRDefault="00DE7E8B" w:rsidP="0022114E">
      <w:pPr>
        <w:pStyle w:val="ListParagraph"/>
        <w:numPr>
          <w:ilvl w:val="0"/>
          <w:numId w:val="2"/>
        </w:numPr>
        <w:spacing w:after="120" w:line="240" w:lineRule="auto"/>
        <w:contextualSpacing w:val="0"/>
        <w:jc w:val="both"/>
        <w:rPr>
          <w:sz w:val="20"/>
          <w:szCs w:val="20"/>
        </w:rPr>
      </w:pPr>
      <w:r w:rsidRPr="00E32F9C">
        <w:rPr>
          <w:sz w:val="20"/>
          <w:szCs w:val="20"/>
        </w:rPr>
        <w:t>Marketing and Business Communication: Focus on stakeholder engagement, legitimacy, and communication in digital environments (Zuboff, 2019).</w:t>
      </w:r>
    </w:p>
    <w:p w14:paraId="1FBF7B80" w14:textId="623A04AE" w:rsidR="00DE7E8B" w:rsidRPr="00E32F9C" w:rsidRDefault="00DE7E8B" w:rsidP="0022114E">
      <w:pPr>
        <w:pStyle w:val="ListParagraph"/>
        <w:numPr>
          <w:ilvl w:val="0"/>
          <w:numId w:val="2"/>
        </w:numPr>
        <w:spacing w:after="120" w:line="240" w:lineRule="auto"/>
        <w:contextualSpacing w:val="0"/>
        <w:jc w:val="both"/>
        <w:rPr>
          <w:sz w:val="20"/>
          <w:szCs w:val="20"/>
        </w:rPr>
      </w:pPr>
      <w:r w:rsidRPr="00E32F9C">
        <w:rPr>
          <w:sz w:val="20"/>
          <w:szCs w:val="20"/>
        </w:rPr>
        <w:t>Business Administration and Management: Address organizational design, workforce resilience, and operational adaptability (McKinley &amp; Scherer, 2022).</w:t>
      </w:r>
    </w:p>
    <w:p w14:paraId="0FDF2475" w14:textId="77777777" w:rsidR="00E32F9C" w:rsidRDefault="00E32F9C" w:rsidP="0022114E">
      <w:pPr>
        <w:spacing w:after="120" w:line="240" w:lineRule="auto"/>
        <w:jc w:val="both"/>
        <w:rPr>
          <w:sz w:val="20"/>
          <w:szCs w:val="20"/>
          <w:u w:val="single"/>
          <w:lang w:val="en"/>
        </w:rPr>
      </w:pPr>
    </w:p>
    <w:p w14:paraId="19B23909" w14:textId="7E8662DC" w:rsidR="00DE7E8B" w:rsidRPr="00DE7E8B" w:rsidRDefault="00DE7E8B" w:rsidP="0022114E">
      <w:pPr>
        <w:spacing w:after="120" w:line="240" w:lineRule="auto"/>
        <w:jc w:val="both"/>
        <w:rPr>
          <w:sz w:val="20"/>
          <w:szCs w:val="20"/>
          <w:u w:val="single"/>
          <w:lang w:val="en"/>
        </w:rPr>
      </w:pPr>
      <w:r w:rsidRPr="00DE7E8B">
        <w:rPr>
          <w:sz w:val="20"/>
          <w:szCs w:val="20"/>
          <w:u w:val="single"/>
          <w:lang w:val="en"/>
        </w:rPr>
        <w:t>References</w:t>
      </w:r>
    </w:p>
    <w:p w14:paraId="5CF91879" w14:textId="62F03DB4" w:rsidR="006F1E97" w:rsidRPr="00E32F9C" w:rsidRDefault="00DE7E8B" w:rsidP="0022114E">
      <w:pPr>
        <w:spacing w:after="120" w:line="240" w:lineRule="auto"/>
        <w:rPr>
          <w:sz w:val="16"/>
          <w:szCs w:val="16"/>
          <w:lang w:val="en"/>
        </w:rPr>
      </w:pPr>
      <w:r w:rsidRPr="00DE7E8B">
        <w:rPr>
          <w:sz w:val="16"/>
          <w:szCs w:val="16"/>
          <w:lang w:val="en"/>
        </w:rPr>
        <w:t>Anderson, P. (1999). Complexity theory and organization science. </w:t>
      </w:r>
      <w:r w:rsidRPr="00DE7E8B">
        <w:rPr>
          <w:i/>
          <w:iCs/>
          <w:sz w:val="16"/>
          <w:szCs w:val="16"/>
          <w:lang w:val="en"/>
        </w:rPr>
        <w:t>Organization Science, 10</w:t>
      </w:r>
      <w:r w:rsidRPr="00DE7E8B">
        <w:rPr>
          <w:sz w:val="16"/>
          <w:szCs w:val="16"/>
          <w:lang w:val="en"/>
        </w:rPr>
        <w:t>(3), 216–232.</w:t>
      </w:r>
      <w:r w:rsidRPr="00DE7E8B">
        <w:rPr>
          <w:sz w:val="16"/>
          <w:szCs w:val="16"/>
          <w:lang w:val="en"/>
        </w:rPr>
        <w:br/>
        <w:t>Bennett, N., &amp; Lemoine, G. J. (2020). What VUCA really means for you. </w:t>
      </w:r>
      <w:r w:rsidRPr="00DE7E8B">
        <w:rPr>
          <w:i/>
          <w:iCs/>
          <w:sz w:val="16"/>
          <w:szCs w:val="16"/>
          <w:lang w:val="en"/>
        </w:rPr>
        <w:t>Harvard Business Review, 98</w:t>
      </w:r>
      <w:r w:rsidRPr="00DE7E8B">
        <w:rPr>
          <w:sz w:val="16"/>
          <w:szCs w:val="16"/>
          <w:lang w:val="en"/>
        </w:rPr>
        <w:t>(1), 27–29.</w:t>
      </w:r>
      <w:r w:rsidRPr="00DE7E8B">
        <w:rPr>
          <w:sz w:val="16"/>
          <w:szCs w:val="16"/>
          <w:lang w:val="en"/>
        </w:rPr>
        <w:br/>
        <w:t>Brynjolfsson, E., &amp; McAfee, A. (2014). </w:t>
      </w:r>
      <w:r w:rsidRPr="00DE7E8B">
        <w:rPr>
          <w:i/>
          <w:iCs/>
          <w:sz w:val="16"/>
          <w:szCs w:val="16"/>
          <w:lang w:val="en"/>
        </w:rPr>
        <w:t>The second machine age</w:t>
      </w:r>
      <w:r w:rsidRPr="00DE7E8B">
        <w:rPr>
          <w:sz w:val="16"/>
          <w:szCs w:val="16"/>
          <w:lang w:val="en"/>
        </w:rPr>
        <w:t>. W. W. Norton &amp; Company.</w:t>
      </w:r>
      <w:r w:rsidRPr="00DE7E8B">
        <w:rPr>
          <w:sz w:val="16"/>
          <w:szCs w:val="16"/>
          <w:lang w:val="en"/>
        </w:rPr>
        <w:br/>
        <w:t>Danneels, E., &amp; Vestal, A. (2020). Normalizing vs. analyzing disruptions. </w:t>
      </w:r>
      <w:r w:rsidRPr="00DE7E8B">
        <w:rPr>
          <w:i/>
          <w:iCs/>
          <w:sz w:val="16"/>
          <w:szCs w:val="16"/>
          <w:lang w:val="en"/>
        </w:rPr>
        <w:t>Strategic Management Journal, 41</w:t>
      </w:r>
      <w:r w:rsidRPr="00DE7E8B">
        <w:rPr>
          <w:sz w:val="16"/>
          <w:szCs w:val="16"/>
          <w:lang w:val="en"/>
        </w:rPr>
        <w:t>(S1), 191–209.</w:t>
      </w:r>
      <w:r w:rsidRPr="00DE7E8B">
        <w:rPr>
          <w:sz w:val="16"/>
          <w:szCs w:val="16"/>
          <w:lang w:val="en"/>
        </w:rPr>
        <w:br/>
        <w:t>Freeman, R. E., Harrison, J. S., Wicks, A. C., Parmar, B. L., &amp; de Colle, S. (2010). </w:t>
      </w:r>
      <w:r w:rsidRPr="00DE7E8B">
        <w:rPr>
          <w:i/>
          <w:iCs/>
          <w:sz w:val="16"/>
          <w:szCs w:val="16"/>
          <w:lang w:val="en"/>
        </w:rPr>
        <w:t>Stakeholder theory: The state of the art</w:t>
      </w:r>
      <w:r w:rsidRPr="00DE7E8B">
        <w:rPr>
          <w:sz w:val="16"/>
          <w:szCs w:val="16"/>
          <w:lang w:val="en"/>
        </w:rPr>
        <w:t>. Cambridge University Press.</w:t>
      </w:r>
      <w:r w:rsidRPr="00DE7E8B">
        <w:rPr>
          <w:sz w:val="16"/>
          <w:szCs w:val="16"/>
          <w:lang w:val="en"/>
        </w:rPr>
        <w:br/>
        <w:t>Godet, M. (2000). The art of scenarios and strategic planning. </w:t>
      </w:r>
      <w:r w:rsidRPr="00DE7E8B">
        <w:rPr>
          <w:i/>
          <w:iCs/>
          <w:sz w:val="16"/>
          <w:szCs w:val="16"/>
          <w:lang w:val="en"/>
        </w:rPr>
        <w:t>Technological Forecasting and Social Change, 65</w:t>
      </w:r>
      <w:r w:rsidRPr="00DE7E8B">
        <w:rPr>
          <w:sz w:val="16"/>
          <w:szCs w:val="16"/>
          <w:lang w:val="en"/>
        </w:rPr>
        <w:t>(1), 3–22.</w:t>
      </w:r>
      <w:r w:rsidRPr="00DE7E8B">
        <w:rPr>
          <w:sz w:val="16"/>
          <w:szCs w:val="16"/>
          <w:lang w:val="en"/>
        </w:rPr>
        <w:br/>
      </w:r>
      <w:r w:rsidRPr="00DE7E8B">
        <w:rPr>
          <w:sz w:val="16"/>
          <w:szCs w:val="16"/>
          <w:lang w:val="fr-FR"/>
        </w:rPr>
        <w:t xml:space="preserve">Gómez-Mejía, L. R., Haynes, K. T., Núñez-Nickel, M., Jacobson, K. J. L., &amp; Moyano-Fuentes, J. (2007). </w:t>
      </w:r>
      <w:r w:rsidRPr="00DE7E8B">
        <w:rPr>
          <w:sz w:val="16"/>
          <w:szCs w:val="16"/>
          <w:lang w:val="en"/>
        </w:rPr>
        <w:t>Socioemotional wealth and business risks in family-controlled firms. </w:t>
      </w:r>
      <w:r w:rsidRPr="00DE7E8B">
        <w:rPr>
          <w:i/>
          <w:iCs/>
          <w:sz w:val="16"/>
          <w:szCs w:val="16"/>
          <w:lang w:val="en"/>
        </w:rPr>
        <w:t>Administrative Science Quarterly, 52</w:t>
      </w:r>
      <w:r w:rsidRPr="00DE7E8B">
        <w:rPr>
          <w:sz w:val="16"/>
          <w:szCs w:val="16"/>
          <w:lang w:val="en"/>
        </w:rPr>
        <w:t>(1), 106–137.</w:t>
      </w:r>
      <w:r w:rsidRPr="00DE7E8B">
        <w:rPr>
          <w:sz w:val="16"/>
          <w:szCs w:val="16"/>
          <w:lang w:val="en"/>
        </w:rPr>
        <w:br/>
      </w:r>
      <w:r w:rsidRPr="00DE7E8B">
        <w:rPr>
          <w:sz w:val="16"/>
          <w:szCs w:val="16"/>
          <w:lang w:val="fr-FR"/>
        </w:rPr>
        <w:t>Hanelt, A., Bohnsack, R., Marz, D., &amp; Antunes Marante, C. (2021). Digital transformation. </w:t>
      </w:r>
      <w:r w:rsidRPr="00DE7E8B">
        <w:rPr>
          <w:i/>
          <w:iCs/>
          <w:sz w:val="16"/>
          <w:szCs w:val="16"/>
          <w:lang w:val="en"/>
        </w:rPr>
        <w:t>Journal of Management Studies, 58</w:t>
      </w:r>
      <w:r w:rsidRPr="00DE7E8B">
        <w:rPr>
          <w:sz w:val="16"/>
          <w:szCs w:val="16"/>
          <w:lang w:val="en"/>
        </w:rPr>
        <w:t>(5), 1159–1197.</w:t>
      </w:r>
      <w:r w:rsidRPr="00DE7E8B">
        <w:rPr>
          <w:sz w:val="16"/>
          <w:szCs w:val="16"/>
          <w:lang w:val="en"/>
        </w:rPr>
        <w:br/>
        <w:t>Hoffmann, P. S., &amp; Waddock, S. (2022). Managing purpose-driven firms. </w:t>
      </w:r>
      <w:r w:rsidRPr="00DE7E8B">
        <w:rPr>
          <w:i/>
          <w:iCs/>
          <w:sz w:val="16"/>
          <w:szCs w:val="16"/>
          <w:lang w:val="en"/>
        </w:rPr>
        <w:t>Business &amp; Society, 61</w:t>
      </w:r>
      <w:r w:rsidRPr="00DE7E8B">
        <w:rPr>
          <w:sz w:val="16"/>
          <w:szCs w:val="16"/>
          <w:lang w:val="en"/>
        </w:rPr>
        <w:t>(8), 1890–1925.</w:t>
      </w:r>
      <w:r w:rsidRPr="00DE7E8B">
        <w:rPr>
          <w:sz w:val="16"/>
          <w:szCs w:val="16"/>
          <w:lang w:val="en"/>
        </w:rPr>
        <w:br/>
        <w:t>Holland, J. H. (2006). Studying complex adaptive systems. </w:t>
      </w:r>
      <w:r w:rsidRPr="00DE7E8B">
        <w:rPr>
          <w:i/>
          <w:iCs/>
          <w:sz w:val="16"/>
          <w:szCs w:val="16"/>
          <w:lang w:val="en"/>
        </w:rPr>
        <w:t>Journal of Systems Science and Complexity, 19</w:t>
      </w:r>
      <w:r w:rsidRPr="00DE7E8B">
        <w:rPr>
          <w:sz w:val="16"/>
          <w:szCs w:val="16"/>
          <w:lang w:val="en"/>
        </w:rPr>
        <w:t>(1), 1–8.</w:t>
      </w:r>
      <w:r w:rsidRPr="00DE7E8B">
        <w:rPr>
          <w:sz w:val="16"/>
          <w:szCs w:val="16"/>
          <w:lang w:val="en"/>
        </w:rPr>
        <w:br/>
        <w:t>Maak, T., &amp; Pless, N. M. (2006). Responsible leadership. </w:t>
      </w:r>
      <w:r w:rsidRPr="00DE7E8B">
        <w:rPr>
          <w:i/>
          <w:iCs/>
          <w:sz w:val="16"/>
          <w:szCs w:val="16"/>
          <w:lang w:val="en"/>
        </w:rPr>
        <w:t>Journal of Business Ethics, 66</w:t>
      </w:r>
      <w:r w:rsidRPr="00DE7E8B">
        <w:rPr>
          <w:sz w:val="16"/>
          <w:szCs w:val="16"/>
          <w:lang w:val="en"/>
        </w:rPr>
        <w:t>(1), 99–115.</w:t>
      </w:r>
      <w:r w:rsidRPr="00DE7E8B">
        <w:rPr>
          <w:sz w:val="16"/>
          <w:szCs w:val="16"/>
          <w:lang w:val="en"/>
        </w:rPr>
        <w:br/>
        <w:t>McKinley, W., &amp; Scherer, A. G. (2022). Complexity theory and organization studies. </w:t>
      </w:r>
      <w:r w:rsidRPr="00DE7E8B">
        <w:rPr>
          <w:i/>
          <w:iCs/>
          <w:sz w:val="16"/>
          <w:szCs w:val="16"/>
          <w:lang w:val="en"/>
        </w:rPr>
        <w:t>Academy of Management Review, 47</w:t>
      </w:r>
      <w:r w:rsidRPr="00DE7E8B">
        <w:rPr>
          <w:sz w:val="16"/>
          <w:szCs w:val="16"/>
          <w:lang w:val="en"/>
        </w:rPr>
        <w:t>(1), 1–23.</w:t>
      </w:r>
      <w:r w:rsidRPr="00DE7E8B">
        <w:rPr>
          <w:sz w:val="16"/>
          <w:szCs w:val="16"/>
          <w:lang w:val="en"/>
        </w:rPr>
        <w:br/>
        <w:t>Rohrbeck, R., &amp; Kum, M. E. (2018). Corporate foresight and firm performance. </w:t>
      </w:r>
      <w:r w:rsidRPr="00DE7E8B">
        <w:rPr>
          <w:i/>
          <w:iCs/>
          <w:sz w:val="16"/>
          <w:szCs w:val="16"/>
          <w:lang w:val="en"/>
        </w:rPr>
        <w:t>Technological Forecasting and Social Change, 129</w:t>
      </w:r>
      <w:r w:rsidRPr="00DE7E8B">
        <w:rPr>
          <w:sz w:val="16"/>
          <w:szCs w:val="16"/>
          <w:lang w:val="en"/>
        </w:rPr>
        <w:t>, 105–116.</w:t>
      </w:r>
      <w:r w:rsidRPr="00DE7E8B">
        <w:rPr>
          <w:sz w:val="16"/>
          <w:szCs w:val="16"/>
          <w:lang w:val="en"/>
        </w:rPr>
        <w:br/>
        <w:t>Shepherd, D. A., &amp; Williams, T. A. (2020). Entrepreneurship responding to adversity. </w:t>
      </w:r>
      <w:r w:rsidRPr="00DE7E8B">
        <w:rPr>
          <w:i/>
          <w:iCs/>
          <w:sz w:val="16"/>
          <w:szCs w:val="16"/>
          <w:lang w:val="en"/>
        </w:rPr>
        <w:t>Journal of Management, 46</w:t>
      </w:r>
      <w:r w:rsidRPr="00DE7E8B">
        <w:rPr>
          <w:sz w:val="16"/>
          <w:szCs w:val="16"/>
          <w:lang w:val="en"/>
        </w:rPr>
        <w:t>(7), 1221–1253.</w:t>
      </w:r>
      <w:r w:rsidRPr="00DE7E8B">
        <w:rPr>
          <w:sz w:val="16"/>
          <w:szCs w:val="16"/>
          <w:lang w:val="en"/>
        </w:rPr>
        <w:br/>
        <w:t>Snowden, D. J., &amp; Boone, M. E. (2007). A leader’s framework for decision making. </w:t>
      </w:r>
      <w:r w:rsidRPr="00DE7E8B">
        <w:rPr>
          <w:i/>
          <w:iCs/>
          <w:sz w:val="16"/>
          <w:szCs w:val="16"/>
          <w:lang w:val="en"/>
        </w:rPr>
        <w:t>Harvard Business Review, 85</w:t>
      </w:r>
      <w:r w:rsidRPr="00DE7E8B">
        <w:rPr>
          <w:sz w:val="16"/>
          <w:szCs w:val="16"/>
          <w:lang w:val="en"/>
        </w:rPr>
        <w:t>(11), 68–76.</w:t>
      </w:r>
      <w:r w:rsidRPr="00DE7E8B">
        <w:rPr>
          <w:sz w:val="16"/>
          <w:szCs w:val="16"/>
          <w:lang w:val="en"/>
        </w:rPr>
        <w:br/>
        <w:t xml:space="preserve">Stigliani, I., &amp; </w:t>
      </w:r>
      <w:proofErr w:type="spellStart"/>
      <w:r w:rsidRPr="00DE7E8B">
        <w:rPr>
          <w:sz w:val="16"/>
          <w:szCs w:val="16"/>
          <w:lang w:val="en"/>
        </w:rPr>
        <w:t>Ravasi</w:t>
      </w:r>
      <w:proofErr w:type="spellEnd"/>
      <w:r w:rsidRPr="00DE7E8B">
        <w:rPr>
          <w:sz w:val="16"/>
          <w:szCs w:val="16"/>
          <w:lang w:val="en"/>
        </w:rPr>
        <w:t>, D. (2021). Managing uncertainty in innovation. </w:t>
      </w:r>
      <w:r w:rsidRPr="00DE7E8B">
        <w:rPr>
          <w:i/>
          <w:iCs/>
          <w:sz w:val="16"/>
          <w:szCs w:val="16"/>
          <w:lang w:val="en"/>
        </w:rPr>
        <w:t>Organization Studies, 42</w:t>
      </w:r>
      <w:r w:rsidRPr="00DE7E8B">
        <w:rPr>
          <w:sz w:val="16"/>
          <w:szCs w:val="16"/>
          <w:lang w:val="en"/>
        </w:rPr>
        <w:t>(8), 1219–1248.</w:t>
      </w:r>
      <w:r w:rsidRPr="00DE7E8B">
        <w:rPr>
          <w:sz w:val="16"/>
          <w:szCs w:val="16"/>
          <w:lang w:val="en"/>
        </w:rPr>
        <w:br/>
        <w:t>Williams, T. A., Gruber, D. A., Sutcliffe, K. M., Shepherd, D. A., &amp; Zhao, E. Y. (2021). Organizational response to adversity. </w:t>
      </w:r>
      <w:r w:rsidRPr="00DE7E8B">
        <w:rPr>
          <w:i/>
          <w:iCs/>
          <w:sz w:val="16"/>
          <w:szCs w:val="16"/>
          <w:lang w:val="en"/>
        </w:rPr>
        <w:t>Academy of Management Annals, 15</w:t>
      </w:r>
      <w:r w:rsidRPr="00DE7E8B">
        <w:rPr>
          <w:sz w:val="16"/>
          <w:szCs w:val="16"/>
          <w:lang w:val="en"/>
        </w:rPr>
        <w:t>(2), 737–786.</w:t>
      </w:r>
      <w:r w:rsidRPr="00DE7E8B">
        <w:rPr>
          <w:sz w:val="16"/>
          <w:szCs w:val="16"/>
          <w:lang w:val="en"/>
        </w:rPr>
        <w:br/>
        <w:t>Zuboff, S. (2019). </w:t>
      </w:r>
      <w:r w:rsidRPr="00DE7E8B">
        <w:rPr>
          <w:i/>
          <w:iCs/>
          <w:sz w:val="16"/>
          <w:szCs w:val="16"/>
          <w:lang w:val="en"/>
        </w:rPr>
        <w:t>The age of surveillance capitalism</w:t>
      </w:r>
      <w:r w:rsidRPr="00DE7E8B">
        <w:rPr>
          <w:sz w:val="16"/>
          <w:szCs w:val="16"/>
          <w:lang w:val="en"/>
        </w:rPr>
        <w:t>. PublicAffairs.</w:t>
      </w:r>
    </w:p>
    <w:sectPr w:rsidR="006F1E97" w:rsidRPr="00E32F9C" w:rsidSect="0022114E">
      <w:pgSz w:w="11909" w:h="16834" w:code="9"/>
      <w:pgMar w:top="1411" w:right="1411" w:bottom="1411" w:left="1411"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75F5" w14:textId="77777777" w:rsidR="00FB7FB5" w:rsidRDefault="00FB7FB5" w:rsidP="00E32F9C">
      <w:pPr>
        <w:spacing w:after="0" w:line="240" w:lineRule="auto"/>
      </w:pPr>
      <w:r>
        <w:separator/>
      </w:r>
    </w:p>
  </w:endnote>
  <w:endnote w:type="continuationSeparator" w:id="0">
    <w:p w14:paraId="359E3DE1" w14:textId="77777777" w:rsidR="00FB7FB5" w:rsidRDefault="00FB7FB5" w:rsidP="00E32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219E" w14:textId="77777777" w:rsidR="00FB7FB5" w:rsidRDefault="00FB7FB5" w:rsidP="00E32F9C">
      <w:pPr>
        <w:spacing w:after="0" w:line="240" w:lineRule="auto"/>
      </w:pPr>
      <w:r>
        <w:separator/>
      </w:r>
    </w:p>
  </w:footnote>
  <w:footnote w:type="continuationSeparator" w:id="0">
    <w:p w14:paraId="69C9BD1E" w14:textId="77777777" w:rsidR="00FB7FB5" w:rsidRDefault="00FB7FB5" w:rsidP="00E32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2E06"/>
    <w:multiLevelType w:val="hybridMultilevel"/>
    <w:tmpl w:val="9A52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F59A5"/>
    <w:multiLevelType w:val="hybridMultilevel"/>
    <w:tmpl w:val="D0DC3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25525357">
    <w:abstractNumId w:val="0"/>
  </w:num>
  <w:num w:numId="2" w16cid:durableId="1804083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C5"/>
    <w:rsid w:val="00022AD2"/>
    <w:rsid w:val="00040F28"/>
    <w:rsid w:val="00095AC7"/>
    <w:rsid w:val="001F4FC5"/>
    <w:rsid w:val="002064C0"/>
    <w:rsid w:val="0022114E"/>
    <w:rsid w:val="002D5012"/>
    <w:rsid w:val="00312206"/>
    <w:rsid w:val="003A6B95"/>
    <w:rsid w:val="00484B51"/>
    <w:rsid w:val="005D6CB6"/>
    <w:rsid w:val="006F1E97"/>
    <w:rsid w:val="00791E08"/>
    <w:rsid w:val="008C5AE2"/>
    <w:rsid w:val="00930FE3"/>
    <w:rsid w:val="00967DA8"/>
    <w:rsid w:val="00D14501"/>
    <w:rsid w:val="00DC425E"/>
    <w:rsid w:val="00DE7E8B"/>
    <w:rsid w:val="00E32F9C"/>
    <w:rsid w:val="00FB11C8"/>
    <w:rsid w:val="00FB7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9B61"/>
  <w15:chartTrackingRefBased/>
  <w15:docId w15:val="{A898A84E-00A9-4ED0-9D86-D473AE3D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F4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F4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FC5"/>
    <w:rPr>
      <w:rFonts w:eastAsiaTheme="majorEastAsia" w:cstheme="majorBidi"/>
      <w:color w:val="272727" w:themeColor="text1" w:themeTint="D8"/>
    </w:rPr>
  </w:style>
  <w:style w:type="paragraph" w:styleId="Title">
    <w:name w:val="Title"/>
    <w:basedOn w:val="Normal"/>
    <w:next w:val="Normal"/>
    <w:link w:val="TitleChar"/>
    <w:uiPriority w:val="10"/>
    <w:qFormat/>
    <w:rsid w:val="001F4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FC5"/>
    <w:pPr>
      <w:spacing w:before="160"/>
      <w:jc w:val="center"/>
    </w:pPr>
    <w:rPr>
      <w:i/>
      <w:iCs/>
      <w:color w:val="404040" w:themeColor="text1" w:themeTint="BF"/>
    </w:rPr>
  </w:style>
  <w:style w:type="character" w:customStyle="1" w:styleId="QuoteChar">
    <w:name w:val="Quote Char"/>
    <w:basedOn w:val="DefaultParagraphFont"/>
    <w:link w:val="Quote"/>
    <w:uiPriority w:val="29"/>
    <w:rsid w:val="001F4FC5"/>
    <w:rPr>
      <w:i/>
      <w:iCs/>
      <w:color w:val="404040" w:themeColor="text1" w:themeTint="BF"/>
    </w:rPr>
  </w:style>
  <w:style w:type="paragraph" w:styleId="ListParagraph">
    <w:name w:val="List Paragraph"/>
    <w:basedOn w:val="Normal"/>
    <w:uiPriority w:val="34"/>
    <w:qFormat/>
    <w:rsid w:val="001F4FC5"/>
    <w:pPr>
      <w:ind w:left="720"/>
      <w:contextualSpacing/>
    </w:pPr>
  </w:style>
  <w:style w:type="character" w:styleId="IntenseEmphasis">
    <w:name w:val="Intense Emphasis"/>
    <w:basedOn w:val="DefaultParagraphFont"/>
    <w:uiPriority w:val="21"/>
    <w:qFormat/>
    <w:rsid w:val="001F4FC5"/>
    <w:rPr>
      <w:i/>
      <w:iCs/>
      <w:color w:val="0F4761" w:themeColor="accent1" w:themeShade="BF"/>
    </w:rPr>
  </w:style>
  <w:style w:type="paragraph" w:styleId="IntenseQuote">
    <w:name w:val="Intense Quote"/>
    <w:basedOn w:val="Normal"/>
    <w:next w:val="Normal"/>
    <w:link w:val="IntenseQuoteChar"/>
    <w:uiPriority w:val="30"/>
    <w:qFormat/>
    <w:rsid w:val="001F4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FC5"/>
    <w:rPr>
      <w:i/>
      <w:iCs/>
      <w:color w:val="0F4761" w:themeColor="accent1" w:themeShade="BF"/>
    </w:rPr>
  </w:style>
  <w:style w:type="character" w:styleId="IntenseReference">
    <w:name w:val="Intense Reference"/>
    <w:basedOn w:val="DefaultParagraphFont"/>
    <w:uiPriority w:val="32"/>
    <w:qFormat/>
    <w:rsid w:val="001F4FC5"/>
    <w:rPr>
      <w:b/>
      <w:bCs/>
      <w:smallCaps/>
      <w:color w:val="0F4761" w:themeColor="accent1" w:themeShade="BF"/>
      <w:spacing w:val="5"/>
    </w:rPr>
  </w:style>
  <w:style w:type="character" w:styleId="Hyperlink">
    <w:name w:val="Hyperlink"/>
    <w:basedOn w:val="DefaultParagraphFont"/>
    <w:uiPriority w:val="99"/>
    <w:unhideWhenUsed/>
    <w:rsid w:val="001F4FC5"/>
    <w:rPr>
      <w:color w:val="467886" w:themeColor="hyperlink"/>
      <w:u w:val="single"/>
    </w:rPr>
  </w:style>
  <w:style w:type="character" w:styleId="UnresolvedMention">
    <w:name w:val="Unresolved Mention"/>
    <w:basedOn w:val="DefaultParagraphFont"/>
    <w:uiPriority w:val="99"/>
    <w:semiHidden/>
    <w:unhideWhenUsed/>
    <w:rsid w:val="001F4FC5"/>
    <w:rPr>
      <w:color w:val="605E5C"/>
      <w:shd w:val="clear" w:color="auto" w:fill="E1DFDD"/>
    </w:rPr>
  </w:style>
  <w:style w:type="table" w:styleId="TableGrid">
    <w:name w:val="Table Grid"/>
    <w:basedOn w:val="TableNormal"/>
    <w:uiPriority w:val="39"/>
    <w:rsid w:val="001F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F9C"/>
    <w:pPr>
      <w:tabs>
        <w:tab w:val="center" w:pos="4703"/>
        <w:tab w:val="right" w:pos="9406"/>
      </w:tabs>
      <w:spacing w:after="0" w:line="240" w:lineRule="auto"/>
    </w:pPr>
  </w:style>
  <w:style w:type="character" w:customStyle="1" w:styleId="HeaderChar">
    <w:name w:val="Header Char"/>
    <w:basedOn w:val="DefaultParagraphFont"/>
    <w:link w:val="Header"/>
    <w:uiPriority w:val="99"/>
    <w:rsid w:val="00E32F9C"/>
  </w:style>
  <w:style w:type="paragraph" w:styleId="Footer">
    <w:name w:val="footer"/>
    <w:basedOn w:val="Normal"/>
    <w:link w:val="FooterChar"/>
    <w:uiPriority w:val="99"/>
    <w:unhideWhenUsed/>
    <w:rsid w:val="00E32F9C"/>
    <w:pPr>
      <w:tabs>
        <w:tab w:val="center" w:pos="4703"/>
        <w:tab w:val="right" w:pos="9406"/>
      </w:tabs>
      <w:spacing w:after="0" w:line="240" w:lineRule="auto"/>
    </w:pPr>
  </w:style>
  <w:style w:type="character" w:customStyle="1" w:styleId="FooterChar">
    <w:name w:val="Footer Char"/>
    <w:basedOn w:val="DefaultParagraphFont"/>
    <w:link w:val="Footer"/>
    <w:uiPriority w:val="99"/>
    <w:rsid w:val="00E3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journalrrsite.com/index.php/Myjrr/issue/view/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alrrsite.com/index.php/Myjrr/issue/view/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COLLEGE DE PARIS</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KASSAR</dc:creator>
  <cp:keywords/>
  <dc:description/>
  <cp:lastModifiedBy>George KASSAR</cp:lastModifiedBy>
  <cp:revision>9</cp:revision>
  <dcterms:created xsi:type="dcterms:W3CDTF">2026-04-21T07:00:00Z</dcterms:created>
  <dcterms:modified xsi:type="dcterms:W3CDTF">2026-07-08T10:15:00Z</dcterms:modified>
</cp:coreProperties>
</file>